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522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92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55"/>
        <w:gridCol w:w="4727"/>
      </w:tblGrid>
      <w:tr>
        <w:tblPrEx>
          <w:tblW w:w="92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54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73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         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ExternalSystem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ч. 3 ст. 12.16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7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марки </w:t>
      </w:r>
      <w:r>
        <w:rPr>
          <w:rStyle w:val="cat-CarMakeModelgrp-18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дорожного знака 3.1 «Въезд запрещен» </w:t>
      </w:r>
      <w:r>
        <w:rPr>
          <w:rFonts w:ascii="Times New Roman" w:eastAsia="Times New Roman" w:hAnsi="Times New Roman" w:cs="Times New Roman"/>
          <w:sz w:val="26"/>
          <w:szCs w:val="26"/>
        </w:rPr>
        <w:t>двигался во встречном направлении по до</w:t>
      </w:r>
      <w:r>
        <w:rPr>
          <w:rFonts w:ascii="Times New Roman" w:eastAsia="Times New Roman" w:hAnsi="Times New Roman" w:cs="Times New Roman"/>
          <w:sz w:val="26"/>
          <w:szCs w:val="26"/>
        </w:rPr>
        <w:t>роге с односторонним движением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присутствовал; о месте, дате и времени рассмотрения дела извещен надлежащим образом. О причинах неявки не сообщил, об отложении рассмотрения дела не просил.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 2 ст. 25.1 КоАП РФ дело рассмотрено в отсутствие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 протокол, ис</w:t>
      </w:r>
      <w:r>
        <w:rPr>
          <w:rFonts w:ascii="Times New Roman" w:eastAsia="Times New Roman" w:hAnsi="Times New Roman" w:cs="Times New Roman"/>
          <w:sz w:val="26"/>
          <w:szCs w:val="26"/>
        </w:rPr>
        <w:t>следовав письменные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видеозапись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приходит к выводу о наличии в действиях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3 ст. 12.16 КоАП РФ, а именно движение во встречном направлении по дороге с односторонним движением.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1.3 ПДД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установлена и подтверждается протоколом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671783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</w:t>
      </w:r>
      <w:r>
        <w:rPr>
          <w:rStyle w:val="cat-FIOgrp-1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заметил знак, подписанным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замечаний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схемой происшествия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дислокацией дорожных </w:t>
      </w:r>
      <w:r>
        <w:rPr>
          <w:rFonts w:ascii="Times New Roman" w:eastAsia="Times New Roman" w:hAnsi="Times New Roman" w:cs="Times New Roman"/>
          <w:sz w:val="26"/>
          <w:szCs w:val="26"/>
        </w:rPr>
        <w:t>знаков;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сотрудника ДПС; справкой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карточкой операции с ВУ; карточкой учета транспортного средства; реестром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виновного лица, его имущественное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льством,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пределах санкции ч. 3 ст. 12.16 КоАП РФ,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из</w:t>
      </w:r>
      <w:r>
        <w:rPr>
          <w:rFonts w:ascii="Times New Roman" w:eastAsia="Times New Roman" w:hAnsi="Times New Roman" w:cs="Times New Roman"/>
          <w:sz w:val="26"/>
          <w:szCs w:val="26"/>
        </w:rPr>
        <w:t>ложенное и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 3 ст. 12.16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5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Получатель УФК по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</w:t>
      </w:r>
      <w:r>
        <w:rPr>
          <w:rStyle w:val="cat-Addressgrp-6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</w:t>
      </w:r>
      <w:r>
        <w:rPr>
          <w:rStyle w:val="cat-PhoneNumbergrp-19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0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счет №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РКЦ Ханты-Мансийска </w:t>
      </w:r>
      <w:r>
        <w:rPr>
          <w:rStyle w:val="cat-Addressgrp-4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1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2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18811601123010001140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</w:t>
      </w:r>
      <w:r>
        <w:rPr>
          <w:rFonts w:ascii="Times New Roman" w:eastAsia="Times New Roman" w:hAnsi="Times New Roman" w:cs="Times New Roman"/>
          <w:sz w:val="26"/>
          <w:szCs w:val="26"/>
        </w:rPr>
        <w:t>250250003014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7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4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CarMakeModelgrp-18rplc-17">
    <w:name w:val="cat-CarMakeModel grp-18 rplc-17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UserDefinedgrp-25rplc-30">
    <w:name w:val="cat-UserDefined grp-25 rplc-30"/>
    <w:basedOn w:val="DefaultParagraphFont"/>
  </w:style>
  <w:style w:type="character" w:customStyle="1" w:styleId="cat-Sumgrp-15rplc-31">
    <w:name w:val="cat-Sum grp-1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4rplc-43">
    <w:name w:val="cat-FIO grp-1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